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inherit" w:hAnsi="inherit"/>
          <w:b w:val="false"/>
          <w:i w:val="false"/>
          <w:caps w:val="false"/>
          <w:smallCaps w:val="false"/>
          <w:color w:val="000000"/>
          <w:spacing w:val="0"/>
          <w:sz w:val="21"/>
        </w:rPr>
        <w:t>Le gisement d’Akhalkalaki est situé au pied de la montagne d’Amiranis dans le sud de la Géorgie. La faune décrite par Vekua (1962, 1987) suggère un âge pléistocène moyen. Les études paléobotaniques (Avakov, 1960) ont révélé une flore à base d’herbes et de xérophytes. Vekua a décrit deux espèces d’Equus : </w:t>
      </w:r>
      <w:r>
        <w:rPr>
          <w:rFonts w:ascii="inherit" w:hAnsi="inherit"/>
          <w:b w:val="false"/>
          <w:i/>
          <w:caps w:val="false"/>
          <w:smallCaps w:val="false"/>
          <w:color w:val="000000"/>
          <w:spacing w:val="0"/>
          <w:sz w:val="21"/>
        </w:rPr>
        <w:t>E</w:t>
      </w:r>
      <w:r>
        <w:rPr>
          <w:rFonts w:ascii="inherit" w:hAnsi="inherit"/>
          <w:b w:val="false"/>
          <w:i w:val="false"/>
          <w:caps w:val="false"/>
          <w:smallCaps w:val="false"/>
          <w:color w:val="000000"/>
          <w:spacing w:val="0"/>
          <w:sz w:val="21"/>
        </w:rPr>
        <w:t>. cf. </w:t>
      </w:r>
      <w:r>
        <w:rPr>
          <w:rFonts w:ascii="inherit" w:hAnsi="inherit"/>
          <w:b w:val="false"/>
          <w:i/>
          <w:caps w:val="false"/>
          <w:smallCaps w:val="false"/>
          <w:color w:val="000000"/>
          <w:spacing w:val="0"/>
          <w:sz w:val="21"/>
        </w:rPr>
        <w:t>suessenbornensis</w:t>
      </w:r>
      <w:r>
        <w:rPr>
          <w:rFonts w:ascii="inherit" w:hAnsi="inherit"/>
          <w:b w:val="false"/>
          <w:i w:val="false"/>
          <w:caps w:val="false"/>
          <w:smallCaps w:val="false"/>
          <w:color w:val="000000"/>
          <w:spacing w:val="0"/>
          <w:sz w:val="21"/>
        </w:rPr>
        <w:t> (abondant) et </w:t>
      </w:r>
      <w:r>
        <w:rPr>
          <w:rFonts w:ascii="inherit" w:hAnsi="inherit"/>
          <w:b w:val="false"/>
          <w:i/>
          <w:caps w:val="false"/>
          <w:smallCaps w:val="false"/>
          <w:color w:val="000000"/>
          <w:spacing w:val="0"/>
          <w:sz w:val="21"/>
        </w:rPr>
        <w:t>E</w:t>
      </w:r>
      <w:r>
        <w:rPr>
          <w:rFonts w:ascii="inherit" w:hAnsi="inherit"/>
          <w:b w:val="false"/>
          <w:i w:val="false"/>
          <w:caps w:val="false"/>
          <w:smallCaps w:val="false"/>
          <w:color w:val="000000"/>
          <w:spacing w:val="0"/>
          <w:sz w:val="21"/>
        </w:rPr>
        <w:t>. </w:t>
      </w:r>
      <w:r>
        <w:rPr>
          <w:rFonts w:ascii="inherit" w:hAnsi="inherit"/>
          <w:b w:val="false"/>
          <w:i/>
          <w:caps w:val="false"/>
          <w:smallCaps w:val="false"/>
          <w:color w:val="000000"/>
          <w:spacing w:val="0"/>
          <w:sz w:val="21"/>
        </w:rPr>
        <w:t>hipparionoides</w:t>
      </w:r>
      <w:r>
        <w:rPr>
          <w:rFonts w:ascii="inherit" w:hAnsi="inherit"/>
          <w:b w:val="false"/>
          <w:i w:val="false"/>
          <w:caps w:val="false"/>
          <w:smallCaps w:val="false"/>
          <w:color w:val="000000"/>
          <w:spacing w:val="0"/>
          <w:sz w:val="21"/>
        </w:rPr>
        <w:t> (rare).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Les dents jugales supérieures semblent moins plissées que celles d’</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suessenbornensis</w:t>
      </w:r>
      <w:r>
        <w:rPr>
          <w:rFonts w:ascii="Cambria;Georgia;Times New Roman;Times;serif" w:hAnsi="Cambria;Georgia;Times New Roman;Times;serif"/>
          <w:b w:val="false"/>
          <w:i w:val="false"/>
          <w:caps w:val="false"/>
          <w:smallCaps w:val="false"/>
          <w:color w:val="000000"/>
          <w:spacing w:val="0"/>
          <w:sz w:val="24"/>
        </w:rPr>
        <w:t> de Sà¼ssenborn - ce qui s’accorde avec un environnement sec. Comme chez </w:t>
      </w:r>
      <w:r>
        <w:rPr>
          <w:rFonts w:ascii="inherit" w:hAnsi="inherit"/>
          <w:b w:val="false"/>
          <w:i/>
          <w:caps w:val="false"/>
          <w:smallCaps w:val="false"/>
          <w:color w:val="000000"/>
          <w:spacing w:val="0"/>
          <w:sz w:val="24"/>
        </w:rPr>
        <w:t>E. suessenbornensis</w:t>
      </w:r>
      <w:r>
        <w:rPr>
          <w:rFonts w:ascii="Cambria;Georgia;Times New Roman;Times;serif" w:hAnsi="Cambria;Georgia;Times New Roman;Times;serif"/>
          <w:b w:val="false"/>
          <w:i w:val="false"/>
          <w:caps w:val="false"/>
          <w:smallCaps w:val="false"/>
          <w:color w:val="000000"/>
          <w:spacing w:val="0"/>
          <w:sz w:val="24"/>
        </w:rPr>
        <w:t>, des plis ectostylides et des ectostylides isolés sont présents sur certaines dents jugales inférieures.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Les métapodes sont pratiquement identiques à ceux d’</w:t>
      </w:r>
      <w:r>
        <w:rPr>
          <w:rFonts w:ascii="inherit" w:hAnsi="inherit"/>
          <w:b w:val="false"/>
          <w:i/>
          <w:caps w:val="false"/>
          <w:smallCaps w:val="false"/>
          <w:color w:val="000000"/>
          <w:spacing w:val="0"/>
          <w:sz w:val="24"/>
        </w:rPr>
        <w:t>E. suessenbornensis</w:t>
      </w:r>
      <w:r>
        <w:rPr>
          <w:rFonts w:ascii="Cambria;Georgia;Times New Roman;Times;serif" w:hAnsi="Cambria;Georgia;Times New Roman;Times;serif"/>
          <w:b w:val="false"/>
          <w:i w:val="false"/>
          <w:caps w:val="false"/>
          <w:smallCaps w:val="false"/>
          <w:color w:val="000000"/>
          <w:spacing w:val="0"/>
          <w:sz w:val="24"/>
        </w:rPr>
        <w:t> et à ceux d’</w:t>
      </w:r>
      <w:r>
        <w:rPr>
          <w:rFonts w:ascii="inherit" w:hAnsi="inherit"/>
          <w:b w:val="false"/>
          <w:i/>
          <w:caps w:val="false"/>
          <w:smallCaps w:val="false"/>
          <w:color w:val="000000"/>
          <w:spacing w:val="0"/>
          <w:sz w:val="24"/>
        </w:rPr>
        <w:t>E. verae</w:t>
      </w:r>
      <w:r>
        <w:rPr>
          <w:rFonts w:ascii="Cambria;Georgia;Times New Roman;Times;serif" w:hAnsi="Cambria;Georgia;Times New Roman;Times;serif"/>
          <w:b w:val="false"/>
          <w:i w:val="false"/>
          <w:caps w:val="false"/>
          <w:smallCaps w:val="false"/>
          <w:color w:val="000000"/>
          <w:spacing w:val="0"/>
          <w:sz w:val="24"/>
        </w:rPr>
        <w:t> du Nord-Est de la Sibérie.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AVAKOV G.S. 1960. - O nakhodke karkasa i vorobejnika v nijne-chetvertichnych ozernykh otlojenijakh Jujnoj Gruzii. DAN AN SSSR 135 (2).</w:t>
      </w:r>
    </w:p>
    <w:p>
      <w:pPr>
        <w:pStyle w:val="TextBody"/>
        <w:widowControl/>
        <w:pBdr/>
        <w:bidi w:val="0"/>
        <w:spacing w:before="0" w:after="0"/>
        <w:ind w:left="0" w:right="0" w:hanging="0"/>
        <w:jc w:val="left"/>
        <w:rPr/>
      </w:pPr>
      <w:hyperlink r:id="rId3">
        <w:r>
          <w:rPr>
            <w:rStyle w:val="InternetLink"/>
            <w:rFonts w:ascii="Cambria;Georgia;Times New Roman;Times;serif" w:hAnsi="Cambria;Georgia;Times New Roman;Times;serif"/>
            <w:b w:val="false"/>
            <w:i w:val="false"/>
            <w:caps w:val="false"/>
            <w:smallCaps w:val="false"/>
            <w:color w:val="000000"/>
            <w:spacing w:val="0"/>
            <w:sz w:val="24"/>
            <w:u w:val="single"/>
          </w:rPr>
          <w:t>151. Eisenmann V. 2006. Pliocene and Pleistocene Equids : Paleontology versus Molecular Biology. In : Kahlke, R.-D., Maul, L. C. &amp; Mazza, P. (Eds.) : Late Neogene and Quaternary biodiversity and evolution : Regional developments and interregional correlations. Proceedings volume of the 18th International Senckenberg Conference (VI International Palaeontological Colloquium in Weimar), 25th-20th April 2004. Courier Forschungsinstitut Senckenberg (CFS), 256:71-89, 21 figs, 2pls.</w:t>
        </w:r>
      </w:hyperlink>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VEKUA A.K., 1962. - Akhalkalakskaja nijnepleà¯stotsenovaja fauna mlekopitayuschikh. Isdat. Akad. Nauk Gruzinskoj SSR, Tbilisi : 207pp., 20 fig., 23 tabl.,19 pl., en géorgien, résumé en russe.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VEKUA A.K. 1987. - The Lower Pleistocene Mammalian Fauna of Akhalkalaki (Southern Georgia, USSR). Paleontographia Italica, 74 : 63-96.</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sz w:val="21"/>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vera-eisenmann.com/ecrire/?exec=article&amp;id_article=1120"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4268</TotalTime>
  <Application>LibreOffice/7.4.3.2$Windows_X86_64 LibreOffice_project/1048a8393ae2eeec98dff31b5c133c5f1d08b890</Application>
  <AppVersion>15.0000</AppVersion>
  <Pages>1</Pages>
  <Words>247</Words>
  <Characters>1472</Characters>
  <CharactersWithSpaces>1711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2024-08-02T16:03:45Z</dcterms:modified>
  <cp:revision>72</cp:revision>
  <dc:subject/>
  <dc:title/>
</cp:coreProperties>
</file>